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905F8" w14:textId="63F3C6C2" w:rsidR="009E20E5" w:rsidRDefault="00ED2951" w:rsidP="00674EDE">
      <w:pPr>
        <w:widowControl w:val="0"/>
        <w:spacing w:before="360" w:after="240" w:line="240" w:lineRule="auto"/>
        <w:contextualSpacing/>
        <w:outlineLvl w:val="0"/>
      </w:pPr>
      <w:r w:rsidRPr="00674EDE">
        <w:rPr>
          <w:rFonts w:ascii="Calibri" w:eastAsia="Calibri" w:hAnsi="Calibri" w:cs="Times New Roman"/>
          <w:b/>
          <w:bCs/>
          <w:color w:val="197C7D"/>
          <w:spacing w:val="5"/>
          <w:kern w:val="28"/>
          <w:sz w:val="48"/>
          <w:szCs w:val="48"/>
          <w14:ligatures w14:val="none"/>
        </w:rPr>
        <w:t>Hydrogen</w:t>
      </w:r>
      <w:r w:rsidRPr="009E20E5">
        <w:t xml:space="preserve"> </w:t>
      </w:r>
      <w:r w:rsidRPr="00674EDE">
        <w:rPr>
          <w:rFonts w:ascii="Calibri" w:eastAsia="Calibri" w:hAnsi="Calibri" w:cs="Times New Roman"/>
          <w:b/>
          <w:bCs/>
          <w:color w:val="197C7D"/>
          <w:spacing w:val="5"/>
          <w:kern w:val="28"/>
          <w:sz w:val="48"/>
          <w:szCs w:val="48"/>
          <w14:ligatures w14:val="none"/>
        </w:rPr>
        <w:t>Headstart</w:t>
      </w:r>
    </w:p>
    <w:p w14:paraId="2697E402" w14:textId="73139663" w:rsidR="000C2A90" w:rsidRPr="001A5BCD" w:rsidRDefault="00ED2951" w:rsidP="001A5BCD">
      <w:pPr>
        <w:spacing w:before="360" w:after="240"/>
        <w:rPr>
          <w:rFonts w:ascii="Calibri" w:eastAsia="Times New Roman" w:hAnsi="Calibri" w:cs="Times New Roman"/>
          <w:b/>
          <w:bCs/>
          <w:color w:val="083A42"/>
          <w:kern w:val="0"/>
          <w:sz w:val="28"/>
          <w:szCs w:val="28"/>
          <w:lang w:eastAsia="ja-JP"/>
          <w14:ligatures w14:val="none"/>
        </w:rPr>
      </w:pPr>
      <w:r w:rsidRPr="001A5BCD">
        <w:rPr>
          <w:rFonts w:ascii="Calibri" w:eastAsia="Times New Roman" w:hAnsi="Calibri" w:cs="Times New Roman"/>
          <w:b/>
          <w:bCs/>
          <w:color w:val="083A42"/>
          <w:kern w:val="0"/>
          <w:sz w:val="28"/>
          <w:szCs w:val="28"/>
          <w:lang w:eastAsia="ja-JP"/>
          <w14:ligatures w14:val="none"/>
        </w:rPr>
        <w:t xml:space="preserve">Consultation Summary </w:t>
      </w:r>
    </w:p>
    <w:p w14:paraId="67A5EEB0" w14:textId="497F0068" w:rsidR="00283F0E" w:rsidRDefault="00AF63E8">
      <w:r>
        <w:t xml:space="preserve">The Department of Climate Change, Energy, the Environment and Water </w:t>
      </w:r>
      <w:r w:rsidR="00283F0E">
        <w:t xml:space="preserve">(DCCEEW) </w:t>
      </w:r>
      <w:r>
        <w:t>and the Australian Renewable Energy Agency (ARENA)</w:t>
      </w:r>
      <w:r w:rsidR="00A46509">
        <w:t xml:space="preserve"> consulted on the design parameters of the Hydrogen Headstart Program</w:t>
      </w:r>
      <w:r w:rsidR="00BA307A">
        <w:t xml:space="preserve"> (the Program)</w:t>
      </w:r>
      <w:r w:rsidR="00A46509">
        <w:t xml:space="preserve"> between 7 July 2023 and 3 August 2023. </w:t>
      </w:r>
    </w:p>
    <w:p w14:paraId="4278ED74" w14:textId="04B6A570" w:rsidR="00283F0E" w:rsidRDefault="00A46509" w:rsidP="00BA307A">
      <w:r>
        <w:t xml:space="preserve">114 written submissions were received through the consultation process. This document summarises the feedback received </w:t>
      </w:r>
      <w:r w:rsidR="00A614E6">
        <w:t xml:space="preserve">during the consultation period. </w:t>
      </w:r>
      <w:r w:rsidR="00D63D91">
        <w:t>In general,</w:t>
      </w:r>
      <w:r w:rsidR="00BA307A" w:rsidRPr="00BA307A">
        <w:t xml:space="preserve"> the proposed </w:t>
      </w:r>
      <w:r w:rsidR="00BA307A">
        <w:t>program design parameters</w:t>
      </w:r>
      <w:r w:rsidR="00BA307A" w:rsidRPr="00BA307A">
        <w:t xml:space="preserve"> were well received and broadly agreed. Many</w:t>
      </w:r>
      <w:r w:rsidR="00BA307A">
        <w:t xml:space="preserve"> respondents</w:t>
      </w:r>
      <w:r w:rsidR="00BA307A" w:rsidRPr="00BA307A">
        <w:t xml:space="preserve"> noted that the Program was timely, fit for purpose, and were pleased to see </w:t>
      </w:r>
      <w:r w:rsidR="00613C67">
        <w:t>Go</w:t>
      </w:r>
      <w:r w:rsidR="00BA307A" w:rsidRPr="00BA307A">
        <w:t>vernment support for th</w:t>
      </w:r>
      <w:r w:rsidR="00456AFB">
        <w:t>e</w:t>
      </w:r>
      <w:r w:rsidR="00BA307A" w:rsidRPr="00BA307A">
        <w:t xml:space="preserve"> emerging </w:t>
      </w:r>
      <w:r w:rsidR="00456AFB">
        <w:t xml:space="preserve">hydrogen </w:t>
      </w:r>
      <w:r w:rsidR="00BA307A" w:rsidRPr="00BA307A">
        <w:t>industry.</w:t>
      </w:r>
    </w:p>
    <w:p w14:paraId="7FF066B0" w14:textId="44350450" w:rsidR="00ED2951" w:rsidRDefault="00283F0E">
      <w:r>
        <w:t>DCCEEW and ARENA t</w:t>
      </w:r>
      <w:r w:rsidR="00AF63E8">
        <w:t>hank the</w:t>
      </w:r>
      <w:r>
        <w:t xml:space="preserve"> respondents</w:t>
      </w:r>
      <w:r w:rsidR="00CF7B96">
        <w:t xml:space="preserve"> for their </w:t>
      </w:r>
      <w:r w:rsidR="00A46509">
        <w:t xml:space="preserve">submissions. </w:t>
      </w:r>
    </w:p>
    <w:p w14:paraId="72343736" w14:textId="2F0FEDD2" w:rsidR="00052D15" w:rsidRDefault="009E1D7D" w:rsidP="001A5BCD">
      <w:pPr>
        <w:spacing w:after="240"/>
      </w:pPr>
      <w:r>
        <w:t xml:space="preserve">Feedback from the consultation </w:t>
      </w:r>
      <w:r w:rsidR="00EE1AED">
        <w:t xml:space="preserve">process </w:t>
      </w:r>
      <w:r w:rsidR="00CD3C42">
        <w:t xml:space="preserve">was an </w:t>
      </w:r>
      <w:r w:rsidR="00F4149C">
        <w:t xml:space="preserve">important </w:t>
      </w:r>
      <w:r w:rsidR="00CD3C42">
        <w:t xml:space="preserve">input into </w:t>
      </w:r>
      <w:r w:rsidR="002F18B7">
        <w:t>t</w:t>
      </w:r>
      <w:r w:rsidR="00052D15">
        <w:t>he final program design</w:t>
      </w:r>
      <w:r w:rsidR="00FA2C16">
        <w:t xml:space="preserve">. </w:t>
      </w:r>
    </w:p>
    <w:tbl>
      <w:tblPr>
        <w:tblStyle w:val="TableGrid"/>
        <w:tblW w:w="9356" w:type="dxa"/>
        <w:jc w:val="center"/>
        <w:tblLook w:val="04A0" w:firstRow="1" w:lastRow="0" w:firstColumn="1" w:lastColumn="0" w:noHBand="0" w:noVBand="1"/>
      </w:tblPr>
      <w:tblGrid>
        <w:gridCol w:w="1980"/>
        <w:gridCol w:w="7376"/>
      </w:tblGrid>
      <w:tr w:rsidR="00ED2951" w14:paraId="78AFAF35" w14:textId="77777777" w:rsidTr="001A5BCD">
        <w:trPr>
          <w:jc w:val="center"/>
        </w:trPr>
        <w:tc>
          <w:tcPr>
            <w:tcW w:w="1980" w:type="dxa"/>
          </w:tcPr>
          <w:p w14:paraId="2FCBB134" w14:textId="13C3569B" w:rsidR="00ED2951" w:rsidRPr="007F636F" w:rsidRDefault="00EB567C" w:rsidP="009B2D07">
            <w:pPr>
              <w:rPr>
                <w:b/>
                <w:bCs/>
              </w:rPr>
            </w:pPr>
            <w:r>
              <w:rPr>
                <w:b/>
                <w:bCs/>
              </w:rPr>
              <w:t>Design parameter</w:t>
            </w:r>
          </w:p>
        </w:tc>
        <w:tc>
          <w:tcPr>
            <w:tcW w:w="7376" w:type="dxa"/>
          </w:tcPr>
          <w:p w14:paraId="3459EB96" w14:textId="77777777" w:rsidR="00ED2951" w:rsidRPr="007F636F" w:rsidRDefault="00ED2951" w:rsidP="009B2D07">
            <w:pPr>
              <w:rPr>
                <w:b/>
                <w:bCs/>
              </w:rPr>
            </w:pPr>
            <w:r>
              <w:rPr>
                <w:b/>
                <w:bCs/>
              </w:rPr>
              <w:t xml:space="preserve">Summary of responses </w:t>
            </w:r>
          </w:p>
        </w:tc>
      </w:tr>
      <w:tr w:rsidR="00ED2951" w14:paraId="0DD1570C" w14:textId="77777777" w:rsidTr="001A5BCD">
        <w:trPr>
          <w:jc w:val="center"/>
        </w:trPr>
        <w:tc>
          <w:tcPr>
            <w:tcW w:w="1980" w:type="dxa"/>
          </w:tcPr>
          <w:p w14:paraId="06E17CAB" w14:textId="77777777" w:rsidR="00ED2951" w:rsidRPr="004563BD" w:rsidRDefault="00ED2951" w:rsidP="009B2D07">
            <w:r>
              <w:t>Overarching comments</w:t>
            </w:r>
          </w:p>
        </w:tc>
        <w:tc>
          <w:tcPr>
            <w:tcW w:w="7376" w:type="dxa"/>
          </w:tcPr>
          <w:p w14:paraId="13785BB4" w14:textId="77777777" w:rsidR="00ED2951" w:rsidRDefault="00ED2951" w:rsidP="009B2D07">
            <w:pPr>
              <w:pStyle w:val="ListParagraph"/>
              <w:numPr>
                <w:ilvl w:val="0"/>
                <w:numId w:val="2"/>
              </w:numPr>
              <w:spacing w:after="120"/>
              <w:ind w:left="425" w:hanging="357"/>
              <w:contextualSpacing w:val="0"/>
            </w:pPr>
            <w:r>
              <w:t>Respondents welcomed the development of the Hydrogen Headstart program.</w:t>
            </w:r>
          </w:p>
          <w:p w14:paraId="0B62C8FB" w14:textId="348B25B2" w:rsidR="00ED2951" w:rsidRDefault="00ED2951" w:rsidP="009B2D07">
            <w:pPr>
              <w:pStyle w:val="ListParagraph"/>
              <w:numPr>
                <w:ilvl w:val="0"/>
                <w:numId w:val="2"/>
              </w:numPr>
              <w:spacing w:after="120"/>
              <w:ind w:left="425" w:hanging="357"/>
              <w:contextualSpacing w:val="0"/>
            </w:pPr>
            <w:r>
              <w:t>Respondents noted that other</w:t>
            </w:r>
            <w:r w:rsidRPr="004B0038">
              <w:t xml:space="preserve"> countries are implementing substantial and practical measures to stimulate</w:t>
            </w:r>
            <w:r w:rsidR="00C20D70">
              <w:t xml:space="preserve"> growth in </w:t>
            </w:r>
            <w:r w:rsidRPr="004B0038">
              <w:t xml:space="preserve">their own </w:t>
            </w:r>
            <w:r>
              <w:t xml:space="preserve">hydrogen </w:t>
            </w:r>
            <w:r w:rsidR="00C20D70">
              <w:t xml:space="preserve">industry. </w:t>
            </w:r>
          </w:p>
          <w:p w14:paraId="67C50EB0" w14:textId="77777777" w:rsidR="00ED2951" w:rsidRPr="004563BD" w:rsidRDefault="00ED2951" w:rsidP="009B2D07">
            <w:pPr>
              <w:pStyle w:val="ListParagraph"/>
              <w:numPr>
                <w:ilvl w:val="0"/>
                <w:numId w:val="2"/>
              </w:numPr>
              <w:spacing w:after="120"/>
              <w:ind w:left="425" w:hanging="357"/>
              <w:contextualSpacing w:val="0"/>
            </w:pPr>
            <w:r>
              <w:t xml:space="preserve">Respondents </w:t>
            </w:r>
            <w:r w:rsidRPr="00C04843">
              <w:t xml:space="preserve">emphasised the importance of moving quickly to ensure </w:t>
            </w:r>
            <w:r>
              <w:t>Australia</w:t>
            </w:r>
            <w:r w:rsidRPr="00C04843">
              <w:t xml:space="preserve"> can capture opportunities in development now.</w:t>
            </w:r>
          </w:p>
        </w:tc>
      </w:tr>
      <w:tr w:rsidR="00ED2951" w14:paraId="0DBA4E2A" w14:textId="77777777" w:rsidTr="001A5BCD">
        <w:trPr>
          <w:jc w:val="center"/>
        </w:trPr>
        <w:tc>
          <w:tcPr>
            <w:tcW w:w="1980" w:type="dxa"/>
          </w:tcPr>
          <w:p w14:paraId="33052A6C" w14:textId="77777777" w:rsidR="00ED2951" w:rsidRDefault="00ED2951" w:rsidP="009B2D07">
            <w:r>
              <w:t>Project scale</w:t>
            </w:r>
          </w:p>
        </w:tc>
        <w:tc>
          <w:tcPr>
            <w:tcW w:w="7376" w:type="dxa"/>
          </w:tcPr>
          <w:p w14:paraId="68393A83" w14:textId="1BD060CB" w:rsidR="00ED2951" w:rsidRDefault="00ED2951" w:rsidP="009B2D07">
            <w:pPr>
              <w:pStyle w:val="ListParagraph"/>
              <w:numPr>
                <w:ilvl w:val="0"/>
                <w:numId w:val="2"/>
              </w:numPr>
              <w:spacing w:after="120"/>
              <w:ind w:left="425" w:hanging="357"/>
              <w:contextualSpacing w:val="0"/>
            </w:pPr>
            <w:r>
              <w:t>Some respondents suggested the minimum project scale should be increased from 50 MW of electrolysis to 100</w:t>
            </w:r>
            <w:r w:rsidR="003B128B">
              <w:t xml:space="preserve"> </w:t>
            </w:r>
            <w:r>
              <w:t xml:space="preserve">MW or above, to better catalyse a large-scale hydrogen industry in Australia.  </w:t>
            </w:r>
          </w:p>
          <w:p w14:paraId="7686A627" w14:textId="77777777" w:rsidR="00ED2951" w:rsidRDefault="00ED2951" w:rsidP="009B2D07">
            <w:pPr>
              <w:pStyle w:val="ListParagraph"/>
              <w:numPr>
                <w:ilvl w:val="0"/>
                <w:numId w:val="2"/>
              </w:numPr>
              <w:spacing w:after="120"/>
              <w:ind w:left="425" w:hanging="357"/>
              <w:contextualSpacing w:val="0"/>
            </w:pPr>
            <w:r>
              <w:t xml:space="preserve">Other respondents noted that even 50 MW is a significant scale-up in electrolysis capacity, given the largest operating electrolyser in Australia is 1.25 MW, with two 10 MW projects under construction. </w:t>
            </w:r>
          </w:p>
          <w:p w14:paraId="26A11BF5" w14:textId="77777777" w:rsidR="00ED2951" w:rsidRDefault="00ED2951" w:rsidP="009B2D07">
            <w:pPr>
              <w:pStyle w:val="ListParagraph"/>
              <w:numPr>
                <w:ilvl w:val="0"/>
                <w:numId w:val="2"/>
              </w:numPr>
              <w:spacing w:after="120"/>
              <w:ind w:left="425" w:hanging="357"/>
              <w:contextualSpacing w:val="0"/>
            </w:pPr>
            <w:r>
              <w:t xml:space="preserve">Many also highlighted the amount of available funding and the estimated commercial gap between hydrogen production costs and sales prices would naturally lead to the selection of projects larger than 100 MW. </w:t>
            </w:r>
          </w:p>
        </w:tc>
      </w:tr>
      <w:tr w:rsidR="00ED2951" w14:paraId="2FD3A20E" w14:textId="77777777" w:rsidTr="001A5BCD">
        <w:trPr>
          <w:jc w:val="center"/>
        </w:trPr>
        <w:tc>
          <w:tcPr>
            <w:tcW w:w="1980" w:type="dxa"/>
          </w:tcPr>
          <w:p w14:paraId="3F5551A9" w14:textId="77777777" w:rsidR="00ED2951" w:rsidRDefault="00ED2951" w:rsidP="009B2D07">
            <w:r>
              <w:t>Additionality and temporal matching requirements for renewable electricity.</w:t>
            </w:r>
          </w:p>
        </w:tc>
        <w:tc>
          <w:tcPr>
            <w:tcW w:w="7376" w:type="dxa"/>
          </w:tcPr>
          <w:p w14:paraId="472AA745" w14:textId="0E544D82" w:rsidR="00ED2951" w:rsidRDefault="00ED2951" w:rsidP="009B2D07">
            <w:pPr>
              <w:pStyle w:val="ListParagraph"/>
              <w:numPr>
                <w:ilvl w:val="0"/>
                <w:numId w:val="2"/>
              </w:numPr>
              <w:spacing w:after="120"/>
              <w:ind w:left="425" w:hanging="357"/>
              <w:contextualSpacing w:val="0"/>
            </w:pPr>
            <w:r>
              <w:t xml:space="preserve">Many respondents suggested additionality and time matching requirements for renewable electricity would be too burdensome for early-stage projects and would lead to delays in project timeframes. Some of these respondents noted the EU has recently </w:t>
            </w:r>
            <w:r w:rsidR="008D0951">
              <w:rPr>
                <w:kern w:val="0"/>
                <w14:ligatures w14:val="none"/>
              </w:rPr>
              <w:t xml:space="preserve">relaxed requirements </w:t>
            </w:r>
            <w:r>
              <w:t>on additionality and temporal-matching for hydrogen production.</w:t>
            </w:r>
          </w:p>
          <w:p w14:paraId="4A5FEAF7" w14:textId="77777777" w:rsidR="00ED2951" w:rsidRDefault="00ED2951" w:rsidP="009B2D07">
            <w:pPr>
              <w:pStyle w:val="ListParagraph"/>
              <w:numPr>
                <w:ilvl w:val="0"/>
                <w:numId w:val="2"/>
              </w:numPr>
              <w:spacing w:after="120"/>
              <w:ind w:left="425" w:hanging="357"/>
              <w:contextualSpacing w:val="0"/>
            </w:pPr>
            <w:r>
              <w:t xml:space="preserve">Some respondents recommended including additionality and temporal-matching requirements to prevent the diversion of renewable electricity from domestic decarbonisation goals, and to stimulate further investment in new-build renewables. </w:t>
            </w:r>
          </w:p>
          <w:p w14:paraId="5CC5EAF5" w14:textId="77777777" w:rsidR="00ED2951" w:rsidRDefault="00ED2951" w:rsidP="009B2D07">
            <w:pPr>
              <w:pStyle w:val="ListParagraph"/>
              <w:numPr>
                <w:ilvl w:val="0"/>
                <w:numId w:val="2"/>
              </w:numPr>
              <w:spacing w:after="120"/>
              <w:ind w:left="425" w:hanging="357"/>
              <w:contextualSpacing w:val="0"/>
            </w:pPr>
            <w:r>
              <w:lastRenderedPageBreak/>
              <w:t>Several respondents noted these requirements would create additional complexity for early-stage projects, but suggested additionality and temporal-matching should be built into the program at a later stage once the hydrogen market has matured.</w:t>
            </w:r>
          </w:p>
        </w:tc>
      </w:tr>
      <w:tr w:rsidR="00ED2951" w14:paraId="14AEE0F3" w14:textId="77777777" w:rsidTr="001A5BCD">
        <w:trPr>
          <w:jc w:val="center"/>
        </w:trPr>
        <w:tc>
          <w:tcPr>
            <w:tcW w:w="1980" w:type="dxa"/>
          </w:tcPr>
          <w:p w14:paraId="64FCBFE3" w14:textId="6F5AAF4C" w:rsidR="00ED2951" w:rsidRDefault="00E4630C" w:rsidP="009B2D07">
            <w:r>
              <w:lastRenderedPageBreak/>
              <w:t>E</w:t>
            </w:r>
            <w:r w:rsidR="00ED2951">
              <w:t>nd use eligibility</w:t>
            </w:r>
          </w:p>
        </w:tc>
        <w:tc>
          <w:tcPr>
            <w:tcW w:w="7376" w:type="dxa"/>
          </w:tcPr>
          <w:p w14:paraId="4F5A4846" w14:textId="77777777" w:rsidR="00ED2951" w:rsidRDefault="00ED2951" w:rsidP="009B2D07">
            <w:pPr>
              <w:pStyle w:val="ListParagraph"/>
              <w:numPr>
                <w:ilvl w:val="0"/>
                <w:numId w:val="2"/>
              </w:numPr>
              <w:spacing w:after="120"/>
              <w:ind w:left="425" w:hanging="357"/>
              <w:contextualSpacing w:val="0"/>
            </w:pPr>
            <w:r>
              <w:t>Most respondents agreed any end use should be eligible due to the infancy of the hydrogen industry, suggesting some projects would look to diversify their offtake through several varied end uses.</w:t>
            </w:r>
          </w:p>
          <w:p w14:paraId="559372FB" w14:textId="77777777" w:rsidR="00ED2951" w:rsidRDefault="00ED2951" w:rsidP="009B2D07">
            <w:pPr>
              <w:pStyle w:val="ListParagraph"/>
              <w:numPr>
                <w:ilvl w:val="0"/>
                <w:numId w:val="2"/>
              </w:numPr>
              <w:spacing w:after="120"/>
              <w:ind w:left="425" w:hanging="357"/>
              <w:contextualSpacing w:val="0"/>
            </w:pPr>
            <w:r>
              <w:t>Other respondents noted that the hydrogen market will naturally prioritise certain end uses as it develops.</w:t>
            </w:r>
          </w:p>
        </w:tc>
      </w:tr>
      <w:tr w:rsidR="00ED2951" w14:paraId="20306CA8" w14:textId="77777777" w:rsidTr="001A5BCD">
        <w:trPr>
          <w:jc w:val="center"/>
        </w:trPr>
        <w:tc>
          <w:tcPr>
            <w:tcW w:w="1980" w:type="dxa"/>
          </w:tcPr>
          <w:p w14:paraId="13F894FC" w14:textId="01E1752E" w:rsidR="00ED2951" w:rsidRDefault="00ED2951" w:rsidP="009B2D07">
            <w:r>
              <w:t>Domestic vs export end use eligibility</w:t>
            </w:r>
          </w:p>
        </w:tc>
        <w:tc>
          <w:tcPr>
            <w:tcW w:w="7376" w:type="dxa"/>
          </w:tcPr>
          <w:p w14:paraId="42783EB2" w14:textId="77777777" w:rsidR="00ED2951" w:rsidRDefault="00ED2951" w:rsidP="009B2D07">
            <w:pPr>
              <w:pStyle w:val="ListParagraph"/>
              <w:numPr>
                <w:ilvl w:val="0"/>
                <w:numId w:val="2"/>
              </w:numPr>
              <w:spacing w:after="120"/>
              <w:ind w:left="425" w:hanging="357"/>
              <w:contextualSpacing w:val="0"/>
            </w:pPr>
            <w:r>
              <w:t xml:space="preserve">Some respondents suggested the program should prioritise projects with domestic offtake as this could strengthen the domestic industry and supply chains, and lead to value-added manufacturing. </w:t>
            </w:r>
          </w:p>
          <w:p w14:paraId="1A0A0084" w14:textId="77777777" w:rsidR="00ED2951" w:rsidRDefault="00ED2951" w:rsidP="009B2D07">
            <w:pPr>
              <w:pStyle w:val="ListParagraph"/>
              <w:numPr>
                <w:ilvl w:val="0"/>
                <w:numId w:val="2"/>
              </w:numPr>
              <w:tabs>
                <w:tab w:val="left" w:pos="7915"/>
              </w:tabs>
              <w:spacing w:after="120"/>
              <w:ind w:left="425" w:hanging="357"/>
              <w:contextualSpacing w:val="0"/>
            </w:pPr>
            <w:r>
              <w:t xml:space="preserve">Other respondents noted domestic demand alone may not be sufficient to achieve scale in the industry, and that access to export markets and international investment will be important for industry development. </w:t>
            </w:r>
          </w:p>
          <w:p w14:paraId="0CC2973B" w14:textId="77777777" w:rsidR="00ED2951" w:rsidRDefault="00ED2951" w:rsidP="009B2D07">
            <w:pPr>
              <w:pStyle w:val="ListParagraph"/>
              <w:numPr>
                <w:ilvl w:val="0"/>
                <w:numId w:val="2"/>
              </w:numPr>
              <w:spacing w:after="120"/>
              <w:ind w:left="425" w:hanging="357"/>
              <w:contextualSpacing w:val="0"/>
            </w:pPr>
            <w:r>
              <w:t xml:space="preserve">Most respondents agreed that if export focused projects are to be deemed eligible, these proponents should demonstrate how their project will create broader economic and social benefits for Australia, including through job creation, emissions reduction, and First Nations inclusion and engagement. </w:t>
            </w:r>
          </w:p>
        </w:tc>
      </w:tr>
      <w:tr w:rsidR="00ED2951" w14:paraId="3F06D800" w14:textId="77777777" w:rsidTr="001A5BCD">
        <w:trPr>
          <w:jc w:val="center"/>
        </w:trPr>
        <w:tc>
          <w:tcPr>
            <w:tcW w:w="1980" w:type="dxa"/>
          </w:tcPr>
          <w:p w14:paraId="7CC521AC" w14:textId="77777777" w:rsidR="00ED2951" w:rsidRPr="004B56C4" w:rsidRDefault="00ED2951" w:rsidP="009B2D07">
            <w:r w:rsidRPr="004B56C4">
              <w:t>Single site deployment</w:t>
            </w:r>
          </w:p>
        </w:tc>
        <w:tc>
          <w:tcPr>
            <w:tcW w:w="7376" w:type="dxa"/>
          </w:tcPr>
          <w:p w14:paraId="31A9CFFA" w14:textId="34FC2765" w:rsidR="00ED2951" w:rsidRPr="004B56C4" w:rsidRDefault="00ED2951" w:rsidP="009B2D07">
            <w:pPr>
              <w:pStyle w:val="ListParagraph"/>
              <w:numPr>
                <w:ilvl w:val="0"/>
                <w:numId w:val="2"/>
              </w:numPr>
              <w:spacing w:after="120"/>
              <w:ind w:left="425" w:hanging="357"/>
              <w:contextualSpacing w:val="0"/>
            </w:pPr>
            <w:r>
              <w:t>Respondents</w:t>
            </w:r>
            <w:r w:rsidRPr="004B56C4">
              <w:t xml:space="preserve"> generally agreed that </w:t>
            </w:r>
            <w:r>
              <w:t>to</w:t>
            </w:r>
            <w:r w:rsidRPr="004B56C4">
              <w:t xml:space="preserve"> </w:t>
            </w:r>
            <w:r>
              <w:t xml:space="preserve">achieve the </w:t>
            </w:r>
            <w:r w:rsidRPr="004B56C4">
              <w:t xml:space="preserve">program </w:t>
            </w:r>
            <w:r>
              <w:t xml:space="preserve">objective of </w:t>
            </w:r>
            <w:r w:rsidRPr="004B56C4">
              <w:t>catalysing scale</w:t>
            </w:r>
            <w:r>
              <w:t>, projects</w:t>
            </w:r>
            <w:r w:rsidRPr="004B56C4">
              <w:t xml:space="preserve"> aggregated over multiple sites (</w:t>
            </w:r>
            <w:r w:rsidR="001A5BCD" w:rsidRPr="004B56C4">
              <w:t>i.e.,</w:t>
            </w:r>
            <w:r w:rsidRPr="004B56C4">
              <w:t xml:space="preserve"> 5 x 10MW projects)</w:t>
            </w:r>
            <w:r>
              <w:t xml:space="preserve"> should not be included</w:t>
            </w:r>
            <w:r w:rsidRPr="004B56C4">
              <w:t>.</w:t>
            </w:r>
          </w:p>
          <w:p w14:paraId="5A9C7379" w14:textId="77777777" w:rsidR="00ED2951" w:rsidRDefault="00ED2951" w:rsidP="009B2D07">
            <w:pPr>
              <w:pStyle w:val="ListParagraph"/>
              <w:numPr>
                <w:ilvl w:val="0"/>
                <w:numId w:val="2"/>
              </w:numPr>
              <w:spacing w:after="120"/>
              <w:ind w:left="425" w:hanging="357"/>
              <w:contextualSpacing w:val="0"/>
            </w:pPr>
            <w:r w:rsidRPr="004B56C4">
              <w:t>However, many noted that the definition of single site should be clarified, as many projects may have production in one location and downstream end uses in another such as ammonia production.</w:t>
            </w:r>
          </w:p>
        </w:tc>
      </w:tr>
      <w:tr w:rsidR="00ED2951" w14:paraId="69601262" w14:textId="77777777" w:rsidTr="001A5BCD">
        <w:trPr>
          <w:jc w:val="center"/>
        </w:trPr>
        <w:tc>
          <w:tcPr>
            <w:tcW w:w="1980" w:type="dxa"/>
          </w:tcPr>
          <w:p w14:paraId="04995930" w14:textId="77777777" w:rsidR="00ED2951" w:rsidRDefault="00ED2951" w:rsidP="009B2D07">
            <w:r>
              <w:t>Upside sharing</w:t>
            </w:r>
          </w:p>
        </w:tc>
        <w:tc>
          <w:tcPr>
            <w:tcW w:w="7376" w:type="dxa"/>
          </w:tcPr>
          <w:p w14:paraId="09FF2A1B" w14:textId="77777777" w:rsidR="00ED2951" w:rsidRDefault="00ED2951" w:rsidP="009B2D07">
            <w:pPr>
              <w:pStyle w:val="ListParagraph"/>
              <w:numPr>
                <w:ilvl w:val="0"/>
                <w:numId w:val="2"/>
              </w:numPr>
              <w:spacing w:after="120"/>
              <w:ind w:left="425" w:hanging="357"/>
              <w:contextualSpacing w:val="0"/>
            </w:pPr>
            <w:r>
              <w:t xml:space="preserve">Some respondents were supportive of the proposed approach, in recognition of the significant investment being made by Government. </w:t>
            </w:r>
          </w:p>
          <w:p w14:paraId="1CFF12F8" w14:textId="77777777" w:rsidR="00ED2951" w:rsidRDefault="00ED2951" w:rsidP="009B2D07">
            <w:pPr>
              <w:pStyle w:val="ListParagraph"/>
              <w:numPr>
                <w:ilvl w:val="0"/>
                <w:numId w:val="2"/>
              </w:numPr>
              <w:spacing w:after="120"/>
              <w:ind w:left="425" w:hanging="357"/>
              <w:contextualSpacing w:val="0"/>
            </w:pPr>
            <w:r>
              <w:t xml:space="preserve">Other respondents suggested that due to the nascent nature of the industry, upside sharing could be matched with downside risk sharing. </w:t>
            </w:r>
          </w:p>
          <w:p w14:paraId="008780AD" w14:textId="5EAB2742" w:rsidR="00ED2951" w:rsidRDefault="00160AF7" w:rsidP="009B2D07">
            <w:pPr>
              <w:pStyle w:val="ListParagraph"/>
              <w:numPr>
                <w:ilvl w:val="0"/>
                <w:numId w:val="2"/>
              </w:numPr>
              <w:spacing w:after="120"/>
              <w:ind w:left="425" w:hanging="357"/>
              <w:contextualSpacing w:val="0"/>
            </w:pPr>
            <w:r>
              <w:rPr>
                <w:kern w:val="0"/>
                <w14:ligatures w14:val="none"/>
              </w:rPr>
              <w:t xml:space="preserve">The key concern raised in relation to potential upside sharing primarily related to bankability. </w:t>
            </w:r>
            <w:r w:rsidR="00ED2951">
              <w:t xml:space="preserve">Respondents raised questions on the timing for when the mechanism would be triggered and how it would account for market volatility and debt repayment requirements. </w:t>
            </w:r>
          </w:p>
        </w:tc>
      </w:tr>
      <w:tr w:rsidR="00ED2951" w14:paraId="67E8E618" w14:textId="77777777" w:rsidTr="001A5BCD">
        <w:trPr>
          <w:jc w:val="center"/>
        </w:trPr>
        <w:tc>
          <w:tcPr>
            <w:tcW w:w="1980" w:type="dxa"/>
          </w:tcPr>
          <w:p w14:paraId="25AE39E2" w14:textId="77777777" w:rsidR="00ED2951" w:rsidRDefault="00ED2951" w:rsidP="009B2D07">
            <w:r>
              <w:t>Volume risk support</w:t>
            </w:r>
          </w:p>
        </w:tc>
        <w:tc>
          <w:tcPr>
            <w:tcW w:w="7376" w:type="dxa"/>
          </w:tcPr>
          <w:p w14:paraId="27EF50D8" w14:textId="77777777" w:rsidR="00ED2951" w:rsidRDefault="00ED2951" w:rsidP="009B2D07">
            <w:pPr>
              <w:pStyle w:val="ListParagraph"/>
              <w:numPr>
                <w:ilvl w:val="0"/>
                <w:numId w:val="2"/>
              </w:numPr>
              <w:spacing w:after="120"/>
              <w:ind w:left="425" w:hanging="357"/>
              <w:contextualSpacing w:val="0"/>
            </w:pPr>
            <w:r>
              <w:t xml:space="preserve">Some respondents viewed the volume risk mechanism favourably as it would allow the Government to share in potential downside risks. </w:t>
            </w:r>
          </w:p>
          <w:p w14:paraId="22FD3BB9" w14:textId="7B215579" w:rsidR="00ED2951" w:rsidRDefault="00455EAD" w:rsidP="009B2D07">
            <w:pPr>
              <w:pStyle w:val="ListParagraph"/>
              <w:numPr>
                <w:ilvl w:val="0"/>
                <w:numId w:val="2"/>
              </w:numPr>
              <w:spacing w:after="120"/>
              <w:ind w:left="425" w:hanging="357"/>
              <w:contextualSpacing w:val="0"/>
            </w:pPr>
            <w:r>
              <w:rPr>
                <w:kern w:val="0"/>
                <w14:ligatures w14:val="none"/>
              </w:rPr>
              <w:t xml:space="preserve">However, </w:t>
            </w:r>
            <w:proofErr w:type="gramStart"/>
            <w:r>
              <w:rPr>
                <w:kern w:val="0"/>
                <w14:ligatures w14:val="none"/>
              </w:rPr>
              <w:t>the majority of</w:t>
            </w:r>
            <w:proofErr w:type="gramEnd"/>
            <w:r>
              <w:rPr>
                <w:kern w:val="0"/>
                <w14:ligatures w14:val="none"/>
              </w:rPr>
              <w:t xml:space="preserve"> </w:t>
            </w:r>
            <w:r w:rsidR="00ED2951">
              <w:t xml:space="preserve">respondents suggested volume risk should be borne exclusively by proponents, and argued this risk would be mitigated by firm, long-term offtake agreements, which will be essential for project bankability and success through the Program. </w:t>
            </w:r>
          </w:p>
        </w:tc>
      </w:tr>
      <w:tr w:rsidR="00ED2951" w14:paraId="748801DB" w14:textId="77777777" w:rsidTr="001A5BCD">
        <w:trPr>
          <w:jc w:val="center"/>
        </w:trPr>
        <w:tc>
          <w:tcPr>
            <w:tcW w:w="1980" w:type="dxa"/>
          </w:tcPr>
          <w:p w14:paraId="6CD02844" w14:textId="77777777" w:rsidR="00ED2951" w:rsidRDefault="00ED2951" w:rsidP="009B2D07">
            <w:r>
              <w:t>Payment term</w:t>
            </w:r>
          </w:p>
        </w:tc>
        <w:tc>
          <w:tcPr>
            <w:tcW w:w="7376" w:type="dxa"/>
          </w:tcPr>
          <w:p w14:paraId="08A5BB15" w14:textId="482D2273" w:rsidR="00ED2951" w:rsidRDefault="00ED2951" w:rsidP="009B2D07">
            <w:pPr>
              <w:pStyle w:val="ListParagraph"/>
              <w:numPr>
                <w:ilvl w:val="0"/>
                <w:numId w:val="2"/>
              </w:numPr>
              <w:spacing w:after="120"/>
              <w:ind w:left="425" w:hanging="357"/>
              <w:contextualSpacing w:val="0"/>
            </w:pPr>
            <w:r>
              <w:t xml:space="preserve">Key feedback was that flexibility on the commissioning date for projects would be required to ensure high </w:t>
            </w:r>
            <w:r w:rsidR="001A5BCD">
              <w:t>merit,</w:t>
            </w:r>
            <w:r>
              <w:t xml:space="preserve"> but later stage projects were not disadvantaged. </w:t>
            </w:r>
          </w:p>
          <w:p w14:paraId="329302F7" w14:textId="77777777" w:rsidR="00DA2DF7" w:rsidRDefault="00ED2951" w:rsidP="009B2D07">
            <w:pPr>
              <w:pStyle w:val="ListParagraph"/>
              <w:numPr>
                <w:ilvl w:val="0"/>
                <w:numId w:val="2"/>
              </w:numPr>
              <w:spacing w:after="120"/>
              <w:ind w:left="425" w:hanging="357"/>
              <w:contextualSpacing w:val="0"/>
            </w:pPr>
            <w:r>
              <w:lastRenderedPageBreak/>
              <w:t xml:space="preserve">Some respondents indicated a longer payment term (for example 15 years) would be preferable to align with other standard project and financing timeframes. </w:t>
            </w:r>
          </w:p>
          <w:p w14:paraId="5906CA34" w14:textId="3220B9D0" w:rsidR="00ED2951" w:rsidRDefault="00DA2DF7" w:rsidP="009B2D07">
            <w:pPr>
              <w:pStyle w:val="ListParagraph"/>
              <w:numPr>
                <w:ilvl w:val="0"/>
                <w:numId w:val="2"/>
              </w:numPr>
              <w:spacing w:after="120"/>
              <w:ind w:left="425" w:hanging="357"/>
              <w:contextualSpacing w:val="0"/>
            </w:pPr>
            <w:r>
              <w:rPr>
                <w:kern w:val="0"/>
                <w14:ligatures w14:val="none"/>
              </w:rPr>
              <w:t xml:space="preserve">However, it was noted that if the program retained the </w:t>
            </w:r>
            <w:r w:rsidR="001A5BCD">
              <w:rPr>
                <w:kern w:val="0"/>
                <w14:ligatures w14:val="none"/>
              </w:rPr>
              <w:t>10-year</w:t>
            </w:r>
            <w:r>
              <w:rPr>
                <w:kern w:val="0"/>
                <w14:ligatures w14:val="none"/>
              </w:rPr>
              <w:t xml:space="preserve"> term it would be workable.</w:t>
            </w:r>
          </w:p>
        </w:tc>
      </w:tr>
      <w:tr w:rsidR="00ED2951" w14:paraId="7A66C545" w14:textId="77777777" w:rsidTr="001A5BCD">
        <w:trPr>
          <w:jc w:val="center"/>
        </w:trPr>
        <w:tc>
          <w:tcPr>
            <w:tcW w:w="1980" w:type="dxa"/>
          </w:tcPr>
          <w:p w14:paraId="20BC2E04" w14:textId="77777777" w:rsidR="00ED2951" w:rsidRDefault="00ED2951" w:rsidP="009B2D07">
            <w:r>
              <w:lastRenderedPageBreak/>
              <w:t xml:space="preserve">Quarterly Payments </w:t>
            </w:r>
          </w:p>
        </w:tc>
        <w:tc>
          <w:tcPr>
            <w:tcW w:w="7376" w:type="dxa"/>
          </w:tcPr>
          <w:p w14:paraId="6E3E01E1" w14:textId="3E3FBEB9" w:rsidR="00ED2951" w:rsidRDefault="001A5BCD" w:rsidP="009B2D07">
            <w:pPr>
              <w:pStyle w:val="ListParagraph"/>
              <w:numPr>
                <w:ilvl w:val="0"/>
                <w:numId w:val="2"/>
              </w:numPr>
              <w:spacing w:after="120"/>
              <w:ind w:left="425" w:hanging="357"/>
              <w:contextualSpacing w:val="0"/>
            </w:pPr>
            <w:r>
              <w:t>Generally,</w:t>
            </w:r>
            <w:r w:rsidR="00ED2951">
              <w:t xml:space="preserve"> respondents agreed with quarterly payments, to balance cash flow with the administrative burden of reporting to Government.</w:t>
            </w:r>
          </w:p>
          <w:p w14:paraId="5BDAF7F1" w14:textId="77777777" w:rsidR="00ED2951" w:rsidRDefault="00ED2951" w:rsidP="009B2D07">
            <w:pPr>
              <w:pStyle w:val="ListParagraph"/>
              <w:numPr>
                <w:ilvl w:val="0"/>
                <w:numId w:val="2"/>
              </w:numPr>
              <w:spacing w:after="120"/>
              <w:ind w:left="425" w:hanging="357"/>
              <w:contextualSpacing w:val="0"/>
            </w:pPr>
            <w:r>
              <w:t xml:space="preserve">Some respondents noted quarterly payments should be made based on expected production volumes, with a reconciliation against actual production volumes performed annually.  This allows for seasonal variation throughout the year and reduces reporting burden. </w:t>
            </w:r>
          </w:p>
        </w:tc>
      </w:tr>
      <w:tr w:rsidR="00ED2951" w14:paraId="2471698C" w14:textId="77777777" w:rsidTr="001A5BCD">
        <w:trPr>
          <w:jc w:val="center"/>
        </w:trPr>
        <w:tc>
          <w:tcPr>
            <w:tcW w:w="1980" w:type="dxa"/>
          </w:tcPr>
          <w:p w14:paraId="53AAD769" w14:textId="77777777" w:rsidR="00ED2951" w:rsidRDefault="00ED2951" w:rsidP="009B2D07">
            <w:r>
              <w:t xml:space="preserve">Merit Criteria </w:t>
            </w:r>
          </w:p>
        </w:tc>
        <w:tc>
          <w:tcPr>
            <w:tcW w:w="7376" w:type="dxa"/>
          </w:tcPr>
          <w:p w14:paraId="6D1D8A64" w14:textId="1B228C3C" w:rsidR="00ED2951" w:rsidRDefault="00490639" w:rsidP="009B2D07">
            <w:pPr>
              <w:pStyle w:val="ListParagraph"/>
              <w:numPr>
                <w:ilvl w:val="0"/>
                <w:numId w:val="2"/>
              </w:numPr>
              <w:spacing w:after="120"/>
              <w:ind w:left="425" w:hanging="357"/>
              <w:contextualSpacing w:val="0"/>
            </w:pPr>
            <w:r>
              <w:t>M</w:t>
            </w:r>
            <w:r w:rsidR="00ED2951">
              <w:t xml:space="preserve">any respondents suggested that a proponent’s capacity to deliver their project, alongside an assessment of projects risks, should be key to the merit process to ensure projects can be delivered. </w:t>
            </w:r>
          </w:p>
          <w:p w14:paraId="2153031C" w14:textId="220D9EC7" w:rsidR="00ED2951" w:rsidRDefault="00ED2951" w:rsidP="009B2D07">
            <w:pPr>
              <w:pStyle w:val="ListParagraph"/>
              <w:numPr>
                <w:ilvl w:val="0"/>
                <w:numId w:val="2"/>
              </w:numPr>
              <w:spacing w:after="120"/>
              <w:ind w:left="425" w:hanging="357"/>
              <w:contextualSpacing w:val="0"/>
            </w:pPr>
            <w:r>
              <w:t xml:space="preserve">Several proponents suggested including </w:t>
            </w:r>
            <w:r w:rsidR="00616EB6">
              <w:t xml:space="preserve">in the merit criteria </w:t>
            </w:r>
            <w:r>
              <w:t>consider</w:t>
            </w:r>
            <w:r w:rsidR="0069616D">
              <w:t>ation</w:t>
            </w:r>
            <w:r w:rsidR="00D92988">
              <w:t xml:space="preserve"> </w:t>
            </w:r>
            <w:r w:rsidR="0069616D">
              <w:t>of t</w:t>
            </w:r>
            <w:r>
              <w:t xml:space="preserve">he extent to which a project may catalyse shared user infrastructure, or investment in new build renewable energy. </w:t>
            </w:r>
          </w:p>
          <w:p w14:paraId="08AB087D" w14:textId="576D07A2" w:rsidR="00ED2951" w:rsidRDefault="00ED2951" w:rsidP="009B2D07">
            <w:pPr>
              <w:pStyle w:val="ListParagraph"/>
              <w:numPr>
                <w:ilvl w:val="0"/>
                <w:numId w:val="2"/>
              </w:numPr>
              <w:spacing w:after="120"/>
              <w:ind w:left="425" w:hanging="357"/>
              <w:contextualSpacing w:val="0"/>
            </w:pPr>
            <w:r>
              <w:t xml:space="preserve">Other respondents suggested including </w:t>
            </w:r>
            <w:r w:rsidR="005B77EE">
              <w:t xml:space="preserve">in the merit criteria </w:t>
            </w:r>
            <w:r w:rsidR="00D92988">
              <w:t xml:space="preserve">consideration </w:t>
            </w:r>
            <w:r w:rsidR="00D9708C">
              <w:t>as to</w:t>
            </w:r>
            <w:r>
              <w:t xml:space="preserve"> how the project aligns with the proponent’s broader </w:t>
            </w:r>
            <w:r w:rsidR="009028A2">
              <w:t>decarbonisation</w:t>
            </w:r>
            <w:r>
              <w:t xml:space="preserve"> strategy.</w:t>
            </w:r>
          </w:p>
        </w:tc>
      </w:tr>
      <w:tr w:rsidR="00ED2951" w14:paraId="0E984887" w14:textId="77777777" w:rsidTr="001A5BCD">
        <w:trPr>
          <w:jc w:val="center"/>
        </w:trPr>
        <w:tc>
          <w:tcPr>
            <w:tcW w:w="1980" w:type="dxa"/>
          </w:tcPr>
          <w:p w14:paraId="2DEAD3F0" w14:textId="77777777" w:rsidR="00ED2951" w:rsidRDefault="00ED2951" w:rsidP="009B2D07">
            <w:r>
              <w:t>First Nations Engagement</w:t>
            </w:r>
          </w:p>
        </w:tc>
        <w:tc>
          <w:tcPr>
            <w:tcW w:w="7376" w:type="dxa"/>
          </w:tcPr>
          <w:p w14:paraId="24D15AE2" w14:textId="551A03A8" w:rsidR="00ED2951" w:rsidRDefault="00ED2951" w:rsidP="009B2D07">
            <w:pPr>
              <w:pStyle w:val="ListParagraph"/>
              <w:numPr>
                <w:ilvl w:val="0"/>
                <w:numId w:val="2"/>
              </w:numPr>
              <w:spacing w:after="120"/>
              <w:ind w:left="425" w:hanging="357"/>
              <w:contextualSpacing w:val="0"/>
            </w:pPr>
            <w:r>
              <w:t xml:space="preserve">Many respondents agreed that the </w:t>
            </w:r>
            <w:r w:rsidR="00B12310">
              <w:t>merit criteria</w:t>
            </w:r>
            <w:r>
              <w:t xml:space="preserve"> should be strengthened to emphasise meaningful engagement with First Nations Communities, including through shared benefits, employment opportunities, or co-ownership models.</w:t>
            </w:r>
          </w:p>
        </w:tc>
      </w:tr>
      <w:tr w:rsidR="00ED2951" w14:paraId="625DCD03" w14:textId="77777777" w:rsidTr="001A5BCD">
        <w:trPr>
          <w:jc w:val="center"/>
        </w:trPr>
        <w:tc>
          <w:tcPr>
            <w:tcW w:w="1980" w:type="dxa"/>
          </w:tcPr>
          <w:p w14:paraId="03230DE8" w14:textId="77777777" w:rsidR="00ED2951" w:rsidRPr="00F86A33" w:rsidRDefault="00ED2951" w:rsidP="009B2D07">
            <w:r w:rsidRPr="00F86A33">
              <w:t>Application timing</w:t>
            </w:r>
          </w:p>
        </w:tc>
        <w:tc>
          <w:tcPr>
            <w:tcW w:w="7376" w:type="dxa"/>
          </w:tcPr>
          <w:p w14:paraId="72D92CDC" w14:textId="2DF90663" w:rsidR="00ED2951" w:rsidRDefault="009B2D07" w:rsidP="009B2D07">
            <w:pPr>
              <w:pStyle w:val="ListParagraph"/>
              <w:numPr>
                <w:ilvl w:val="0"/>
                <w:numId w:val="2"/>
              </w:numPr>
              <w:spacing w:after="120"/>
              <w:ind w:left="425" w:hanging="357"/>
              <w:contextualSpacing w:val="0"/>
            </w:pPr>
            <w:r>
              <w:t>Many</w:t>
            </w:r>
            <w:r w:rsidR="00ED2951">
              <w:t xml:space="preserve"> respondents suggest</w:t>
            </w:r>
            <w:r>
              <w:t>ed</w:t>
            </w:r>
            <w:r w:rsidR="00ED2951">
              <w:t xml:space="preserve"> the EOI stage should be a short, efficient process.</w:t>
            </w:r>
          </w:p>
          <w:p w14:paraId="109ADAE1" w14:textId="77777777" w:rsidR="00ED2951" w:rsidRDefault="00ED2951" w:rsidP="009B2D07">
            <w:pPr>
              <w:pStyle w:val="ListParagraph"/>
              <w:numPr>
                <w:ilvl w:val="0"/>
                <w:numId w:val="2"/>
              </w:numPr>
              <w:spacing w:after="120"/>
              <w:ind w:left="425" w:hanging="357"/>
              <w:contextualSpacing w:val="0"/>
            </w:pPr>
            <w:r>
              <w:t xml:space="preserve">There was a clear preference for only a small number of projects to be invited to the Full Application stage, to provide greater confidence to shortlisted applicants to proceed with project development. </w:t>
            </w:r>
          </w:p>
          <w:p w14:paraId="1FCBA3F6" w14:textId="77777777" w:rsidR="00ED2951" w:rsidRDefault="00ED2951" w:rsidP="009B2D07">
            <w:pPr>
              <w:pStyle w:val="ListParagraph"/>
              <w:numPr>
                <w:ilvl w:val="0"/>
                <w:numId w:val="2"/>
              </w:numPr>
              <w:spacing w:after="120"/>
              <w:ind w:left="425" w:hanging="357"/>
              <w:contextualSpacing w:val="0"/>
            </w:pPr>
            <w:r>
              <w:t xml:space="preserve">Many noted a window of six months for the Full Application stage would be preferable to the proposed 12-week period.  </w:t>
            </w:r>
          </w:p>
        </w:tc>
      </w:tr>
      <w:tr w:rsidR="00ED2951" w14:paraId="40BC80CF" w14:textId="77777777" w:rsidTr="001A5BCD">
        <w:trPr>
          <w:jc w:val="center"/>
        </w:trPr>
        <w:tc>
          <w:tcPr>
            <w:tcW w:w="1980" w:type="dxa"/>
          </w:tcPr>
          <w:p w14:paraId="438ED238" w14:textId="77777777" w:rsidR="00ED2951" w:rsidRDefault="00ED2951" w:rsidP="009B2D07">
            <w:r>
              <w:t>Development cost support</w:t>
            </w:r>
          </w:p>
        </w:tc>
        <w:tc>
          <w:tcPr>
            <w:tcW w:w="7376" w:type="dxa"/>
          </w:tcPr>
          <w:p w14:paraId="592377EC" w14:textId="77777777" w:rsidR="00ED2951" w:rsidRDefault="00ED2951" w:rsidP="009B2D07">
            <w:pPr>
              <w:pStyle w:val="ListParagraph"/>
              <w:numPr>
                <w:ilvl w:val="0"/>
                <w:numId w:val="2"/>
              </w:numPr>
              <w:spacing w:after="120"/>
              <w:ind w:left="425" w:hanging="357"/>
              <w:contextualSpacing w:val="0"/>
            </w:pPr>
            <w:r>
              <w:t xml:space="preserve">Many respondents viewed the development costs rebate proposal positively, noting it would encourage applicants to continue to develop projects, and improves the possibility the project would proceed even without support through the Program. </w:t>
            </w:r>
          </w:p>
        </w:tc>
      </w:tr>
    </w:tbl>
    <w:p w14:paraId="6EA1B210" w14:textId="77777777" w:rsidR="00ED2951" w:rsidRDefault="00ED2951"/>
    <w:p w14:paraId="2E33AE91" w14:textId="77777777" w:rsidR="00EF20DD" w:rsidRDefault="00EF20DD">
      <w:pPr>
        <w:rPr>
          <w:rFonts w:ascii="Calibri" w:eastAsia="Calibri" w:hAnsi="Calibri" w:cs="Times New Roman"/>
          <w:b/>
          <w:bCs/>
          <w:kern w:val="0"/>
          <w:sz w:val="18"/>
          <w:szCs w:val="18"/>
          <w14:ligatures w14:val="none"/>
        </w:rPr>
      </w:pPr>
      <w:r>
        <w:rPr>
          <w:rFonts w:ascii="Calibri" w:eastAsia="Calibri" w:hAnsi="Calibri" w:cs="Times New Roman"/>
          <w:b/>
          <w:bCs/>
          <w:kern w:val="0"/>
          <w:sz w:val="18"/>
          <w:szCs w:val="18"/>
          <w14:ligatures w14:val="none"/>
        </w:rPr>
        <w:br w:type="page"/>
      </w:r>
    </w:p>
    <w:p w14:paraId="5ECCAC7A" w14:textId="712EDF26" w:rsidR="00EF20DD" w:rsidRPr="001C40F2" w:rsidRDefault="00EF20DD" w:rsidP="00EF20DD">
      <w:pPr>
        <w:spacing w:after="120" w:line="276" w:lineRule="auto"/>
        <w:rPr>
          <w:rFonts w:ascii="Calibri" w:eastAsia="Calibri" w:hAnsi="Calibri" w:cs="Times New Roman"/>
          <w:kern w:val="0"/>
          <w:sz w:val="18"/>
          <w:szCs w:val="18"/>
          <w14:ligatures w14:val="none"/>
        </w:rPr>
      </w:pPr>
      <w:r w:rsidRPr="001C40F2">
        <w:rPr>
          <w:rFonts w:ascii="Calibri" w:eastAsia="Calibri" w:hAnsi="Calibri" w:cs="Times New Roman"/>
          <w:b/>
          <w:bCs/>
          <w:kern w:val="0"/>
          <w:sz w:val="18"/>
          <w:szCs w:val="18"/>
          <w14:ligatures w14:val="none"/>
        </w:rPr>
        <w:lastRenderedPageBreak/>
        <w:t>Acknowledgement of Country</w:t>
      </w:r>
    </w:p>
    <w:p w14:paraId="6D01A6F6" w14:textId="77777777" w:rsidR="00EF20DD" w:rsidRPr="001C40F2" w:rsidRDefault="00EF20DD" w:rsidP="00EF20DD">
      <w:pPr>
        <w:spacing w:after="120" w:line="276" w:lineRule="auto"/>
        <w:rPr>
          <w:rFonts w:ascii="Calibri" w:eastAsia="Calibri" w:hAnsi="Calibri" w:cs="Times New Roman"/>
          <w:kern w:val="0"/>
          <w:sz w:val="18"/>
          <w:szCs w:val="18"/>
          <w14:ligatures w14:val="none"/>
        </w:rPr>
      </w:pPr>
      <w:r w:rsidRPr="001C40F2">
        <w:rPr>
          <w:rFonts w:ascii="Calibri" w:eastAsia="Calibri" w:hAnsi="Calibri" w:cs="Times New Roman"/>
          <w:kern w:val="0"/>
          <w:sz w:val="18"/>
          <w:szCs w:val="18"/>
          <w14:ligatures w14:val="none"/>
        </w:rPr>
        <w:t xml:space="preserve">We acknowledge the Traditional Custodians of Australia and their continuing connection to land and sea, waters, </w:t>
      </w:r>
      <w:proofErr w:type="gramStart"/>
      <w:r w:rsidRPr="001C40F2">
        <w:rPr>
          <w:rFonts w:ascii="Calibri" w:eastAsia="Calibri" w:hAnsi="Calibri" w:cs="Times New Roman"/>
          <w:kern w:val="0"/>
          <w:sz w:val="18"/>
          <w:szCs w:val="18"/>
          <w14:ligatures w14:val="none"/>
        </w:rPr>
        <w:t>environment</w:t>
      </w:r>
      <w:proofErr w:type="gramEnd"/>
      <w:r w:rsidRPr="001C40F2">
        <w:rPr>
          <w:rFonts w:ascii="Calibri" w:eastAsia="Calibri" w:hAnsi="Calibri" w:cs="Times New Roman"/>
          <w:kern w:val="0"/>
          <w:sz w:val="18"/>
          <w:szCs w:val="18"/>
          <w14:ligatures w14:val="none"/>
        </w:rPr>
        <w:t xml:space="preserve"> and community. We pay our respects to the Traditional Custodians of the lands we live and work on, their culture, and their Elders past and present.</w:t>
      </w:r>
    </w:p>
    <w:p w14:paraId="736F1D68" w14:textId="77777777" w:rsidR="00EF20DD" w:rsidRPr="001C40F2" w:rsidRDefault="00EF20DD" w:rsidP="00EF20DD">
      <w:pPr>
        <w:spacing w:before="360" w:after="120" w:line="276" w:lineRule="auto"/>
        <w:rPr>
          <w:rFonts w:ascii="Calibri" w:eastAsia="Calibri" w:hAnsi="Calibri" w:cs="Times New Roman"/>
          <w:kern w:val="0"/>
          <w:sz w:val="18"/>
          <w:szCs w:val="18"/>
          <w14:ligatures w14:val="none"/>
        </w:rPr>
      </w:pPr>
      <w:r w:rsidRPr="001C40F2">
        <w:rPr>
          <w:rFonts w:ascii="Calibri" w:eastAsia="Calibri" w:hAnsi="Calibri" w:cs="Times New Roman"/>
          <w:kern w:val="0"/>
          <w:sz w:val="18"/>
          <w:szCs w:val="18"/>
          <w14:ligatures w14:val="none"/>
        </w:rPr>
        <w:t>© Commonwealth of Australia 2023</w:t>
      </w:r>
    </w:p>
    <w:p w14:paraId="08C80A4F" w14:textId="77777777" w:rsidR="00EF20DD" w:rsidRPr="001C40F2" w:rsidRDefault="00EF20DD" w:rsidP="00EF20DD">
      <w:pPr>
        <w:spacing w:after="120" w:line="276" w:lineRule="auto"/>
        <w:rPr>
          <w:rFonts w:ascii="Calibri" w:eastAsia="Calibri" w:hAnsi="Calibri" w:cs="Times New Roman"/>
          <w:kern w:val="0"/>
          <w:sz w:val="18"/>
          <w:szCs w:val="18"/>
          <w14:ligatures w14:val="none"/>
        </w:rPr>
      </w:pPr>
      <w:r w:rsidRPr="001C40F2">
        <w:rPr>
          <w:rFonts w:ascii="Calibri" w:eastAsia="Calibri" w:hAnsi="Calibri" w:cs="Times New Roman"/>
          <w:kern w:val="0"/>
          <w:sz w:val="18"/>
          <w:szCs w:val="18"/>
          <w14:ligatures w14:val="none"/>
        </w:rPr>
        <w:t>Unless otherwise noted, copyright (and any other intellectual property rights) in this publication is owned by the Commonwealth of Australia (referred to as the Commonwealth).</w:t>
      </w:r>
    </w:p>
    <w:p w14:paraId="7D401EFC" w14:textId="77777777" w:rsidR="00EF20DD" w:rsidRPr="001C40F2" w:rsidRDefault="00EF20DD" w:rsidP="00EF20DD">
      <w:pPr>
        <w:spacing w:after="120" w:line="276" w:lineRule="auto"/>
        <w:rPr>
          <w:rFonts w:ascii="Calibri" w:eastAsia="Calibri" w:hAnsi="Calibri" w:cs="Times New Roman"/>
          <w:kern w:val="0"/>
          <w:sz w:val="18"/>
          <w:szCs w:val="18"/>
          <w14:ligatures w14:val="none"/>
        </w:rPr>
      </w:pPr>
      <w:r w:rsidRPr="001C40F2">
        <w:rPr>
          <w:rFonts w:ascii="Calibri" w:eastAsia="Calibri" w:hAnsi="Calibri" w:cs="Times New Roman"/>
          <w:kern w:val="0"/>
          <w:sz w:val="18"/>
          <w:szCs w:val="18"/>
          <w14:ligatures w14:val="none"/>
        </w:rPr>
        <w:t xml:space="preserve">All material in this publication is licensed under a </w:t>
      </w:r>
      <w:hyperlink r:id="rId11" w:history="1">
        <w:r w:rsidRPr="001C40F2">
          <w:rPr>
            <w:rFonts w:ascii="Calibri" w:eastAsia="Calibri" w:hAnsi="Calibri" w:cs="Times New Roman"/>
            <w:color w:val="165788"/>
            <w:kern w:val="0"/>
            <w:sz w:val="18"/>
            <w:szCs w:val="18"/>
            <w:u w:val="single"/>
            <w14:ligatures w14:val="none"/>
          </w:rPr>
          <w:t>Creative Commons Attribution 4.0 International Licence</w:t>
        </w:r>
      </w:hyperlink>
      <w:r w:rsidRPr="001C40F2">
        <w:rPr>
          <w:rFonts w:ascii="Calibri" w:eastAsia="Calibri" w:hAnsi="Calibri" w:cs="Times New Roman"/>
          <w:kern w:val="0"/>
          <w:sz w:val="18"/>
          <w:szCs w:val="18"/>
          <w14:ligatures w14:val="none"/>
        </w:rPr>
        <w:t xml:space="preserve"> except content supplied by third parties, logos and the Commonwealth Coat of Arms.</w:t>
      </w:r>
    </w:p>
    <w:p w14:paraId="1FF1A2C8" w14:textId="77777777" w:rsidR="00EF20DD" w:rsidRPr="001C40F2" w:rsidRDefault="00EF20DD" w:rsidP="00EF20DD">
      <w:pPr>
        <w:spacing w:after="120" w:line="276" w:lineRule="auto"/>
        <w:rPr>
          <w:rFonts w:ascii="Calibri" w:eastAsia="Calibri" w:hAnsi="Calibri" w:cs="Times New Roman"/>
          <w:kern w:val="0"/>
          <w:sz w:val="18"/>
          <w:szCs w:val="18"/>
          <w14:ligatures w14:val="none"/>
        </w:rPr>
      </w:pPr>
      <w:r w:rsidRPr="001C40F2">
        <w:rPr>
          <w:rFonts w:ascii="Calibri" w:eastAsia="Calibri" w:hAnsi="Calibri" w:cs="Times New Roman"/>
          <w:kern w:val="0"/>
          <w:sz w:val="18"/>
          <w:szCs w:val="18"/>
          <w14:ligatures w14:val="none"/>
        </w:rPr>
        <w:t xml:space="preserve">The Australian Government acting through the Department of Climate Change, Energy, the Environment and Water has exercised due care and skill in preparing and compiling the information and data in this publication. Notwithstanding, the Department of Climate Change, Energy, the Environment and Water, its employees and advisers disclaim all liability, including liability for negligence and for any loss, damage, injury, </w:t>
      </w:r>
      <w:proofErr w:type="gramStart"/>
      <w:r w:rsidRPr="001C40F2">
        <w:rPr>
          <w:rFonts w:ascii="Calibri" w:eastAsia="Calibri" w:hAnsi="Calibri" w:cs="Times New Roman"/>
          <w:kern w:val="0"/>
          <w:sz w:val="18"/>
          <w:szCs w:val="18"/>
          <w14:ligatures w14:val="none"/>
        </w:rPr>
        <w:t>expense</w:t>
      </w:r>
      <w:proofErr w:type="gramEnd"/>
      <w:r w:rsidRPr="001C40F2">
        <w:rPr>
          <w:rFonts w:ascii="Calibri" w:eastAsia="Calibri" w:hAnsi="Calibri" w:cs="Times New Roman"/>
          <w:kern w:val="0"/>
          <w:sz w:val="18"/>
          <w:szCs w:val="18"/>
          <w14:ligatures w14:val="none"/>
        </w:rPr>
        <w:t xml:space="preserve"> or cost incurred by any person as a result of accessing, using or relying on any of the information or data in this publication to the maximum extent permitted by law.</w:t>
      </w:r>
    </w:p>
    <w:p w14:paraId="0649F871" w14:textId="77777777" w:rsidR="00EF20DD" w:rsidRDefault="00EF20DD"/>
    <w:sectPr w:rsidR="00EF20DD" w:rsidSect="0075663B">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A58F6" w14:textId="77777777" w:rsidR="007B7099" w:rsidRDefault="007B7099" w:rsidP="007B7099">
      <w:pPr>
        <w:spacing w:after="0" w:line="240" w:lineRule="auto"/>
      </w:pPr>
      <w:r>
        <w:separator/>
      </w:r>
    </w:p>
  </w:endnote>
  <w:endnote w:type="continuationSeparator" w:id="0">
    <w:p w14:paraId="5DB29941" w14:textId="77777777" w:rsidR="007B7099" w:rsidRDefault="007B7099" w:rsidP="007B7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F3F8A" w14:textId="77777777" w:rsidR="007B7099" w:rsidRDefault="007B7099" w:rsidP="007B7099">
      <w:pPr>
        <w:spacing w:after="0" w:line="240" w:lineRule="auto"/>
      </w:pPr>
      <w:r>
        <w:separator/>
      </w:r>
    </w:p>
  </w:footnote>
  <w:footnote w:type="continuationSeparator" w:id="0">
    <w:p w14:paraId="740EAAC6" w14:textId="77777777" w:rsidR="007B7099" w:rsidRDefault="007B7099" w:rsidP="007B70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6D518" w14:textId="658E82D7" w:rsidR="007B7099" w:rsidRDefault="0075663B">
    <w:pPr>
      <w:pStyle w:val="Header"/>
    </w:pPr>
    <w:r>
      <w:rPr>
        <w:noProof/>
      </w:rPr>
      <w:drawing>
        <wp:anchor distT="0" distB="0" distL="114300" distR="114300" simplePos="0" relativeHeight="251659264" behindDoc="0" locked="0" layoutInCell="1" allowOverlap="1" wp14:anchorId="273E5F94" wp14:editId="6C15F022">
          <wp:simplePos x="0" y="0"/>
          <wp:positionH relativeFrom="page">
            <wp:posOffset>-28575</wp:posOffset>
          </wp:positionH>
          <wp:positionV relativeFrom="paragraph">
            <wp:posOffset>-448310</wp:posOffset>
          </wp:positionV>
          <wp:extent cx="7614920" cy="1146175"/>
          <wp:effectExtent l="0" t="0" r="5080" b="0"/>
          <wp:wrapSquare wrapText="bothSides"/>
          <wp:docPr id="1" name="Picture 1" descr="A picture containing text, screenshot, invertebrate, ctenoph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creenshot, invertebrate, ctenopho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14920" cy="11461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74374"/>
    <w:multiLevelType w:val="hybridMultilevel"/>
    <w:tmpl w:val="DC565A10"/>
    <w:lvl w:ilvl="0" w:tplc="431E3F96">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7102C88"/>
    <w:multiLevelType w:val="hybridMultilevel"/>
    <w:tmpl w:val="D8DE68E4"/>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21471829">
    <w:abstractNumId w:val="0"/>
  </w:num>
  <w:num w:numId="2" w16cid:durableId="3869542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183"/>
    <w:rsid w:val="00023A97"/>
    <w:rsid w:val="00026BF8"/>
    <w:rsid w:val="000325CC"/>
    <w:rsid w:val="00042AC9"/>
    <w:rsid w:val="00052D15"/>
    <w:rsid w:val="0008187B"/>
    <w:rsid w:val="000838E7"/>
    <w:rsid w:val="00083967"/>
    <w:rsid w:val="000C2A90"/>
    <w:rsid w:val="000C2C29"/>
    <w:rsid w:val="00101BCD"/>
    <w:rsid w:val="00120479"/>
    <w:rsid w:val="00130784"/>
    <w:rsid w:val="001308AC"/>
    <w:rsid w:val="00160AF7"/>
    <w:rsid w:val="0016597A"/>
    <w:rsid w:val="0019329F"/>
    <w:rsid w:val="001A4B1D"/>
    <w:rsid w:val="001A5BCD"/>
    <w:rsid w:val="00221E07"/>
    <w:rsid w:val="00223769"/>
    <w:rsid w:val="00243389"/>
    <w:rsid w:val="002514C0"/>
    <w:rsid w:val="00262DA1"/>
    <w:rsid w:val="00264332"/>
    <w:rsid w:val="00276D49"/>
    <w:rsid w:val="00283F0E"/>
    <w:rsid w:val="00287B85"/>
    <w:rsid w:val="00290425"/>
    <w:rsid w:val="002950EE"/>
    <w:rsid w:val="002C1E54"/>
    <w:rsid w:val="002C3FCC"/>
    <w:rsid w:val="002C7744"/>
    <w:rsid w:val="002D4C0E"/>
    <w:rsid w:val="002F18B7"/>
    <w:rsid w:val="00304BCF"/>
    <w:rsid w:val="0031388C"/>
    <w:rsid w:val="003218F0"/>
    <w:rsid w:val="00324E6C"/>
    <w:rsid w:val="00331813"/>
    <w:rsid w:val="00337B25"/>
    <w:rsid w:val="00351037"/>
    <w:rsid w:val="00366F1F"/>
    <w:rsid w:val="00366FCC"/>
    <w:rsid w:val="00384EC7"/>
    <w:rsid w:val="003B128B"/>
    <w:rsid w:val="003D1CD6"/>
    <w:rsid w:val="003D5B2B"/>
    <w:rsid w:val="003E165A"/>
    <w:rsid w:val="003F15FD"/>
    <w:rsid w:val="003F38A6"/>
    <w:rsid w:val="00404708"/>
    <w:rsid w:val="0042008F"/>
    <w:rsid w:val="004328B4"/>
    <w:rsid w:val="00436E9A"/>
    <w:rsid w:val="00455EAD"/>
    <w:rsid w:val="004563BD"/>
    <w:rsid w:val="00456AFB"/>
    <w:rsid w:val="00476183"/>
    <w:rsid w:val="0048009C"/>
    <w:rsid w:val="0048216E"/>
    <w:rsid w:val="00490639"/>
    <w:rsid w:val="00496894"/>
    <w:rsid w:val="004B0038"/>
    <w:rsid w:val="004B56C4"/>
    <w:rsid w:val="00500D50"/>
    <w:rsid w:val="00564AC2"/>
    <w:rsid w:val="0056751D"/>
    <w:rsid w:val="005B77EE"/>
    <w:rsid w:val="00613C67"/>
    <w:rsid w:val="00616EB6"/>
    <w:rsid w:val="006710BD"/>
    <w:rsid w:val="00674EDE"/>
    <w:rsid w:val="00676DC1"/>
    <w:rsid w:val="0069616D"/>
    <w:rsid w:val="006A788B"/>
    <w:rsid w:val="006C3311"/>
    <w:rsid w:val="006C4F6D"/>
    <w:rsid w:val="006F1069"/>
    <w:rsid w:val="006F26C7"/>
    <w:rsid w:val="007239BF"/>
    <w:rsid w:val="00731A0B"/>
    <w:rsid w:val="00747A63"/>
    <w:rsid w:val="0075663B"/>
    <w:rsid w:val="00792F50"/>
    <w:rsid w:val="0079681D"/>
    <w:rsid w:val="007B561F"/>
    <w:rsid w:val="007B7099"/>
    <w:rsid w:val="007D49B0"/>
    <w:rsid w:val="007F636F"/>
    <w:rsid w:val="00882D3A"/>
    <w:rsid w:val="008B6CAE"/>
    <w:rsid w:val="008C5479"/>
    <w:rsid w:val="008D0951"/>
    <w:rsid w:val="008D36EA"/>
    <w:rsid w:val="008D7A1C"/>
    <w:rsid w:val="009028A2"/>
    <w:rsid w:val="009075BB"/>
    <w:rsid w:val="00927E21"/>
    <w:rsid w:val="00955EDB"/>
    <w:rsid w:val="009B2D07"/>
    <w:rsid w:val="009E1D7D"/>
    <w:rsid w:val="009E20E5"/>
    <w:rsid w:val="009E7BA7"/>
    <w:rsid w:val="00A055D2"/>
    <w:rsid w:val="00A270BE"/>
    <w:rsid w:val="00A3097E"/>
    <w:rsid w:val="00A32222"/>
    <w:rsid w:val="00A34E71"/>
    <w:rsid w:val="00A46509"/>
    <w:rsid w:val="00A50FD6"/>
    <w:rsid w:val="00A614E6"/>
    <w:rsid w:val="00A63EC7"/>
    <w:rsid w:val="00AB5BE5"/>
    <w:rsid w:val="00AD36EC"/>
    <w:rsid w:val="00AF63E8"/>
    <w:rsid w:val="00B12310"/>
    <w:rsid w:val="00B53CBF"/>
    <w:rsid w:val="00B85E9D"/>
    <w:rsid w:val="00B86A99"/>
    <w:rsid w:val="00BA307A"/>
    <w:rsid w:val="00BB22DA"/>
    <w:rsid w:val="00BC1C67"/>
    <w:rsid w:val="00BD79D5"/>
    <w:rsid w:val="00BF0BDC"/>
    <w:rsid w:val="00BF56EE"/>
    <w:rsid w:val="00C04843"/>
    <w:rsid w:val="00C13540"/>
    <w:rsid w:val="00C20D70"/>
    <w:rsid w:val="00C235A6"/>
    <w:rsid w:val="00CD3C42"/>
    <w:rsid w:val="00CF7B96"/>
    <w:rsid w:val="00D11031"/>
    <w:rsid w:val="00D13C8A"/>
    <w:rsid w:val="00D63D91"/>
    <w:rsid w:val="00D650FC"/>
    <w:rsid w:val="00D85D7A"/>
    <w:rsid w:val="00D92630"/>
    <w:rsid w:val="00D92988"/>
    <w:rsid w:val="00D95337"/>
    <w:rsid w:val="00D9708C"/>
    <w:rsid w:val="00DA121E"/>
    <w:rsid w:val="00DA2DF7"/>
    <w:rsid w:val="00DA331B"/>
    <w:rsid w:val="00DC2BC0"/>
    <w:rsid w:val="00DC3929"/>
    <w:rsid w:val="00DC7657"/>
    <w:rsid w:val="00E411FB"/>
    <w:rsid w:val="00E4630C"/>
    <w:rsid w:val="00E57139"/>
    <w:rsid w:val="00E61991"/>
    <w:rsid w:val="00EB567C"/>
    <w:rsid w:val="00ED2951"/>
    <w:rsid w:val="00EE1AED"/>
    <w:rsid w:val="00EF135C"/>
    <w:rsid w:val="00EF20DD"/>
    <w:rsid w:val="00EF614C"/>
    <w:rsid w:val="00F04662"/>
    <w:rsid w:val="00F27672"/>
    <w:rsid w:val="00F4149C"/>
    <w:rsid w:val="00F47310"/>
    <w:rsid w:val="00F57E7D"/>
    <w:rsid w:val="00F65CD6"/>
    <w:rsid w:val="00F85A53"/>
    <w:rsid w:val="00F86A33"/>
    <w:rsid w:val="00F92E80"/>
    <w:rsid w:val="00FA2C16"/>
    <w:rsid w:val="33138BC3"/>
    <w:rsid w:val="5665A1C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A4881"/>
  <w15:chartTrackingRefBased/>
  <w15:docId w15:val="{4EB980AA-B756-40E2-B173-6F37F1B81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1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63BD"/>
    <w:pPr>
      <w:ind w:left="720"/>
      <w:contextualSpacing/>
    </w:pPr>
  </w:style>
  <w:style w:type="character" w:styleId="CommentReference">
    <w:name w:val="annotation reference"/>
    <w:basedOn w:val="DefaultParagraphFont"/>
    <w:uiPriority w:val="99"/>
    <w:semiHidden/>
    <w:unhideWhenUsed/>
    <w:rsid w:val="00221E07"/>
    <w:rPr>
      <w:sz w:val="16"/>
      <w:szCs w:val="16"/>
    </w:rPr>
  </w:style>
  <w:style w:type="paragraph" w:styleId="CommentText">
    <w:name w:val="annotation text"/>
    <w:basedOn w:val="Normal"/>
    <w:link w:val="CommentTextChar"/>
    <w:uiPriority w:val="99"/>
    <w:unhideWhenUsed/>
    <w:rsid w:val="00221E07"/>
    <w:pPr>
      <w:spacing w:line="240" w:lineRule="auto"/>
    </w:pPr>
    <w:rPr>
      <w:sz w:val="20"/>
      <w:szCs w:val="20"/>
    </w:rPr>
  </w:style>
  <w:style w:type="character" w:customStyle="1" w:styleId="CommentTextChar">
    <w:name w:val="Comment Text Char"/>
    <w:basedOn w:val="DefaultParagraphFont"/>
    <w:link w:val="CommentText"/>
    <w:uiPriority w:val="99"/>
    <w:rsid w:val="00221E07"/>
    <w:rPr>
      <w:sz w:val="20"/>
      <w:szCs w:val="20"/>
    </w:rPr>
  </w:style>
  <w:style w:type="paragraph" w:styleId="CommentSubject">
    <w:name w:val="annotation subject"/>
    <w:basedOn w:val="CommentText"/>
    <w:next w:val="CommentText"/>
    <w:link w:val="CommentSubjectChar"/>
    <w:uiPriority w:val="99"/>
    <w:semiHidden/>
    <w:unhideWhenUsed/>
    <w:rsid w:val="00221E07"/>
    <w:rPr>
      <w:b/>
      <w:bCs/>
    </w:rPr>
  </w:style>
  <w:style w:type="character" w:customStyle="1" w:styleId="CommentSubjectChar">
    <w:name w:val="Comment Subject Char"/>
    <w:basedOn w:val="CommentTextChar"/>
    <w:link w:val="CommentSubject"/>
    <w:uiPriority w:val="99"/>
    <w:semiHidden/>
    <w:rsid w:val="00221E07"/>
    <w:rPr>
      <w:b/>
      <w:bCs/>
      <w:sz w:val="20"/>
      <w:szCs w:val="20"/>
    </w:rPr>
  </w:style>
  <w:style w:type="character" w:styleId="Mention">
    <w:name w:val="Mention"/>
    <w:basedOn w:val="DefaultParagraphFont"/>
    <w:uiPriority w:val="99"/>
    <w:unhideWhenUsed/>
    <w:rsid w:val="00A614E6"/>
    <w:rPr>
      <w:color w:val="2B579A"/>
      <w:shd w:val="clear" w:color="auto" w:fill="E1DFDD"/>
    </w:rPr>
  </w:style>
  <w:style w:type="paragraph" w:styleId="Revision">
    <w:name w:val="Revision"/>
    <w:hidden/>
    <w:uiPriority w:val="99"/>
    <w:semiHidden/>
    <w:rsid w:val="00042AC9"/>
    <w:pPr>
      <w:spacing w:after="0" w:line="240" w:lineRule="auto"/>
    </w:pPr>
  </w:style>
  <w:style w:type="paragraph" w:styleId="Header">
    <w:name w:val="header"/>
    <w:basedOn w:val="Normal"/>
    <w:link w:val="HeaderChar"/>
    <w:uiPriority w:val="99"/>
    <w:unhideWhenUsed/>
    <w:rsid w:val="007B70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7099"/>
  </w:style>
  <w:style w:type="paragraph" w:styleId="Footer">
    <w:name w:val="footer"/>
    <w:basedOn w:val="Normal"/>
    <w:link w:val="FooterChar"/>
    <w:uiPriority w:val="99"/>
    <w:unhideWhenUsed/>
    <w:rsid w:val="007B70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7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444268">
      <w:bodyDiv w:val="1"/>
      <w:marLeft w:val="0"/>
      <w:marRight w:val="0"/>
      <w:marTop w:val="0"/>
      <w:marBottom w:val="0"/>
      <w:divBdr>
        <w:top w:val="none" w:sz="0" w:space="0" w:color="auto"/>
        <w:left w:val="none" w:sz="0" w:space="0" w:color="auto"/>
        <w:bottom w:val="none" w:sz="0" w:space="0" w:color="auto"/>
        <w:right w:val="none" w:sz="0" w:space="0" w:color="auto"/>
      </w:divBdr>
      <w:divsChild>
        <w:div w:id="1106536784">
          <w:marLeft w:val="274"/>
          <w:marRight w:val="0"/>
          <w:marTop w:val="0"/>
          <w:marBottom w:val="60"/>
          <w:divBdr>
            <w:top w:val="none" w:sz="0" w:space="0" w:color="auto"/>
            <w:left w:val="none" w:sz="0" w:space="0" w:color="auto"/>
            <w:bottom w:val="none" w:sz="0" w:space="0" w:color="auto"/>
            <w:right w:val="none" w:sz="0" w:space="0" w:color="auto"/>
          </w:divBdr>
        </w:div>
        <w:div w:id="1773893899">
          <w:marLeft w:val="274"/>
          <w:marRight w:val="0"/>
          <w:marTop w:val="0"/>
          <w:marBottom w:val="60"/>
          <w:divBdr>
            <w:top w:val="none" w:sz="0" w:space="0" w:color="auto"/>
            <w:left w:val="none" w:sz="0" w:space="0" w:color="auto"/>
            <w:bottom w:val="none" w:sz="0" w:space="0" w:color="auto"/>
            <w:right w:val="none" w:sz="0" w:space="0" w:color="auto"/>
          </w:divBdr>
        </w:div>
      </w:divsChild>
    </w:div>
    <w:div w:id="1280722006">
      <w:bodyDiv w:val="1"/>
      <w:marLeft w:val="0"/>
      <w:marRight w:val="0"/>
      <w:marTop w:val="0"/>
      <w:marBottom w:val="0"/>
      <w:divBdr>
        <w:top w:val="none" w:sz="0" w:space="0" w:color="auto"/>
        <w:left w:val="none" w:sz="0" w:space="0" w:color="auto"/>
        <w:bottom w:val="none" w:sz="0" w:space="0" w:color="auto"/>
        <w:right w:val="none" w:sz="0" w:space="0" w:color="auto"/>
      </w:divBdr>
      <w:divsChild>
        <w:div w:id="651060357">
          <w:marLeft w:val="850"/>
          <w:marRight w:val="0"/>
          <w:marTop w:val="0"/>
          <w:marBottom w:val="80"/>
          <w:divBdr>
            <w:top w:val="none" w:sz="0" w:space="0" w:color="auto"/>
            <w:left w:val="none" w:sz="0" w:space="0" w:color="auto"/>
            <w:bottom w:val="none" w:sz="0" w:space="0" w:color="auto"/>
            <w:right w:val="none" w:sz="0" w:space="0" w:color="auto"/>
          </w:divBdr>
        </w:div>
        <w:div w:id="1405495444">
          <w:marLeft w:val="850"/>
          <w:marRight w:val="0"/>
          <w:marTop w:val="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uthorship xmlns="263e80a3-83eb-403e-a237-b3125a65bc88" xsi:nil="true"/>
    <lcf76f155ced4ddcb4097134ff3c332f xmlns="263e80a3-83eb-403e-a237-b3125a65bc88">
      <Terms xmlns="http://schemas.microsoft.com/office/infopath/2007/PartnerControls"/>
    </lcf76f155ced4ddcb4097134ff3c332f>
    <TaxCatchAll xmlns="81c01dc6-2c49-4730-b140-874c95cac3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83F020C0D66A408AC5E2F51A8D5F99" ma:contentTypeVersion="15" ma:contentTypeDescription="Create a new document." ma:contentTypeScope="" ma:versionID="a438a56e1a9c73916601c05e5ef4cf6c">
  <xsd:schema xmlns:xsd="http://www.w3.org/2001/XMLSchema" xmlns:xs="http://www.w3.org/2001/XMLSchema" xmlns:p="http://schemas.microsoft.com/office/2006/metadata/properties" xmlns:ns2="a6e86820-684a-4c77-a2e2-d773523b5b34" xmlns:ns3="263e80a3-83eb-403e-a237-b3125a65bc88" xmlns:ns4="81c01dc6-2c49-4730-b140-874c95cac377" targetNamespace="http://schemas.microsoft.com/office/2006/metadata/properties" ma:root="true" ma:fieldsID="4d482827addd07f1f1519612ff5bbf96" ns2:_="" ns3:_="" ns4:_="">
    <xsd:import namespace="a6e86820-684a-4c77-a2e2-d773523b5b34"/>
    <xsd:import namespace="263e80a3-83eb-403e-a237-b3125a65bc88"/>
    <xsd:import namespace="81c01dc6-2c49-4730-b140-874c95cac37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Authorship"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86820-684a-4c77-a2e2-d773523b5b3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e80a3-83eb-403e-a237-b3125a65bc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Authorship" ma:index="20" nillable="true" ma:displayName="Authorship" ma:format="Dropdown" ma:internalName="Authorship">
      <xsd:simpleType>
        <xsd:restriction base="dms:Choice">
          <xsd:enumeration value="Government"/>
          <xsd:enumeration value="Industry"/>
          <xsd:enumeration value="Academic"/>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d45d8e6-bb2d-417b-a0ab-3512baac0c97}" ma:internalName="TaxCatchAll" ma:showField="CatchAllData" ma:web="a6e86820-684a-4c77-a2e2-d773523b5b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7E6E9-73DB-4E86-88B9-24DC24B4F0AB}">
  <ds:schemaRefs>
    <ds:schemaRef ds:uri="http://schemas.microsoft.com/office/2006/metadata/properties"/>
    <ds:schemaRef ds:uri="http://schemas.microsoft.com/office/infopath/2007/PartnerControls"/>
    <ds:schemaRef ds:uri="263e80a3-83eb-403e-a237-b3125a65bc88"/>
    <ds:schemaRef ds:uri="81c01dc6-2c49-4730-b140-874c95cac377"/>
  </ds:schemaRefs>
</ds:datastoreItem>
</file>

<file path=customXml/itemProps2.xml><?xml version="1.0" encoding="utf-8"?>
<ds:datastoreItem xmlns:ds="http://schemas.openxmlformats.org/officeDocument/2006/customXml" ds:itemID="{8AC0C365-F9FF-425D-A121-691783CDE3C4}">
  <ds:schemaRefs>
    <ds:schemaRef ds:uri="http://schemas.microsoft.com/sharepoint/v3/contenttype/forms"/>
  </ds:schemaRefs>
</ds:datastoreItem>
</file>

<file path=customXml/itemProps3.xml><?xml version="1.0" encoding="utf-8"?>
<ds:datastoreItem xmlns:ds="http://schemas.openxmlformats.org/officeDocument/2006/customXml" ds:itemID="{5033A4FA-3BE9-4785-B31E-6E472D40F984}"/>
</file>

<file path=customXml/itemProps4.xml><?xml version="1.0" encoding="utf-8"?>
<ds:datastoreItem xmlns:ds="http://schemas.openxmlformats.org/officeDocument/2006/customXml" ds:itemID="{B229EFE7-AD55-424F-A890-8FAB867ED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983</TotalTime>
  <Pages>4</Pages>
  <Words>1325</Words>
  <Characters>7556</Characters>
  <Application>Microsoft Office Word</Application>
  <DocSecurity>0</DocSecurity>
  <Lines>62</Lines>
  <Paragraphs>17</Paragraphs>
  <ScaleCrop>false</ScaleCrop>
  <Company/>
  <LinksUpToDate>false</LinksUpToDate>
  <CharactersWithSpaces>8864</CharactersWithSpaces>
  <SharedDoc>false</SharedDoc>
  <HLinks>
    <vt:vector size="6" baseType="variant">
      <vt:variant>
        <vt:i4>5898348</vt:i4>
      </vt:variant>
      <vt:variant>
        <vt:i4>0</vt:i4>
      </vt:variant>
      <vt:variant>
        <vt:i4>0</vt:i4>
      </vt:variant>
      <vt:variant>
        <vt:i4>5</vt:i4>
      </vt:variant>
      <vt:variant>
        <vt:lpwstr>mailto:David.KIDD@dcceew.gov.au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KIDD, David</dc:creator>
  <cp:keywords/>
  <dc:description/>
  <cp:lastModifiedBy>KIDD, David</cp:lastModifiedBy>
  <cp:revision>148</cp:revision>
  <dcterms:created xsi:type="dcterms:W3CDTF">2023-10-04T10:52:00Z</dcterms:created>
  <dcterms:modified xsi:type="dcterms:W3CDTF">2023-10-09T02:50:00Z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0x0101009583F020C0D66A408AC5E2F51A8D5F99</vt:lpwstr>
  </property>
  <property fmtid="{D5CDD505-2E9C-101B-9397-08002B2CF9AE}" pid="3" name="MediaServiceImageTags">
    <vt:lpwstr/>
  </property>
</Properties>
</file>